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190B80DD"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#96</w:t>
      </w:r>
      <w:r w:rsidR="003E3602">
        <w:rPr>
          <w:rFonts w:eastAsia="Batang" w:cs="Arial"/>
          <w:b/>
          <w:bCs/>
          <w:sz w:val="24"/>
          <w:szCs w:val="24"/>
          <w:lang w:val="en-US"/>
        </w:rPr>
        <w:t>bis</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F965AF">
        <w:rPr>
          <w:b/>
          <w:sz w:val="24"/>
          <w:szCs w:val="24"/>
          <w:lang w:eastAsia="ko-KR"/>
        </w:rPr>
        <w:t>4458</w:t>
      </w:r>
    </w:p>
    <w:bookmarkEnd w:id="0"/>
    <w:bookmarkEnd w:id="1"/>
    <w:p w14:paraId="6D2861AA" w14:textId="1EA62EBC" w:rsidR="00B720F1" w:rsidRDefault="003E3602" w:rsidP="00F263F9">
      <w:pPr>
        <w:tabs>
          <w:tab w:val="left" w:pos="1985"/>
        </w:tabs>
        <w:spacing w:before="0" w:after="0" w:line="240" w:lineRule="auto"/>
        <w:ind w:left="2040" w:hangingChars="850" w:hanging="2040"/>
        <w:rPr>
          <w:rFonts w:ascii="Arial" w:eastAsia="MS Mincho" w:hAnsi="Arial" w:cs="Arial"/>
          <w:b/>
          <w:bCs/>
          <w:sz w:val="24"/>
          <w:lang w:val="en-US" w:eastAsia="ja-JP"/>
        </w:rPr>
      </w:pPr>
      <w:r w:rsidRPr="003E3602">
        <w:rPr>
          <w:rFonts w:ascii="Arial" w:eastAsia="MS Mincho" w:hAnsi="Arial" w:cs="Arial"/>
          <w:b/>
          <w:bCs/>
          <w:sz w:val="24"/>
          <w:lang w:val="en-US"/>
        </w:rPr>
        <w:t xml:space="preserve">Xi’an, China, 8th – 12th </w:t>
      </w:r>
      <w:proofErr w:type="gramStart"/>
      <w:r w:rsidRPr="003E3602">
        <w:rPr>
          <w:rFonts w:ascii="Arial" w:eastAsia="MS Mincho" w:hAnsi="Arial" w:cs="Arial"/>
          <w:b/>
          <w:bCs/>
          <w:sz w:val="24"/>
          <w:lang w:val="en-US"/>
        </w:rPr>
        <w:t>April</w:t>
      </w:r>
      <w:r>
        <w:rPr>
          <w:rFonts w:ascii="Arial" w:eastAsia="MS Mincho" w:hAnsi="Arial" w:cs="Arial"/>
          <w:b/>
          <w:bCs/>
          <w:sz w:val="24"/>
          <w:lang w:val="en-US"/>
        </w:rPr>
        <w:t>,</w:t>
      </w:r>
      <w:proofErr w:type="gramEnd"/>
      <w:r w:rsidRPr="003E3602">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59D9F808" w14:textId="77777777" w:rsidR="00F263F9" w:rsidRDefault="00F263F9" w:rsidP="00814155">
      <w:pPr>
        <w:tabs>
          <w:tab w:val="left" w:pos="1985"/>
        </w:tabs>
        <w:ind w:left="2040" w:hangingChars="850" w:hanging="2040"/>
        <w:rPr>
          <w:rFonts w:ascii="Arial" w:hAnsi="Arial"/>
          <w:b/>
          <w:sz w:val="24"/>
        </w:rPr>
      </w:pPr>
    </w:p>
    <w:p w14:paraId="1511A1CA" w14:textId="2024E54A"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15B4F">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2CA02613"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E3602">
        <w:rPr>
          <w:rFonts w:ascii="Arial" w:hAnsi="Arial"/>
          <w:sz w:val="24"/>
        </w:rPr>
        <w:t xml:space="preserve">On </w:t>
      </w:r>
      <w:r w:rsidR="003E3602" w:rsidRPr="003E3602">
        <w:rPr>
          <w:rFonts w:ascii="Arial" w:hAnsi="Arial"/>
          <w:sz w:val="24"/>
        </w:rPr>
        <w:t>CBSR for DFT-based compression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7679C80A" w14:textId="77777777" w:rsidR="00117B2A" w:rsidRDefault="00117B2A" w:rsidP="00117B2A">
      <w:pPr>
        <w:spacing w:after="60"/>
        <w:rPr>
          <w:lang w:val="en-US"/>
        </w:rPr>
      </w:pPr>
      <w:r>
        <w:rPr>
          <w:lang w:val="en-US"/>
        </w:rPr>
        <w:t xml:space="preserve">In RAN1#95, the following agreement </w:t>
      </w:r>
      <w:proofErr w:type="gramStart"/>
      <w:r>
        <w:rPr>
          <w:lang w:val="en-US"/>
        </w:rPr>
        <w:t>was made</w:t>
      </w:r>
      <w:proofErr w:type="gramEnd"/>
      <w:r>
        <w:rPr>
          <w:lang w:val="en-US"/>
        </w:rPr>
        <w:t xml:space="preserve"> [1].</w:t>
      </w:r>
    </w:p>
    <w:tbl>
      <w:tblPr>
        <w:tblStyle w:val="TableGrid"/>
        <w:tblW w:w="0" w:type="auto"/>
        <w:tblLook w:val="04A0" w:firstRow="1" w:lastRow="0" w:firstColumn="1" w:lastColumn="0" w:noHBand="0" w:noVBand="1"/>
      </w:tblPr>
      <w:tblGrid>
        <w:gridCol w:w="9629"/>
      </w:tblGrid>
      <w:tr w:rsidR="00117B2A" w14:paraId="75956D6C" w14:textId="77777777" w:rsidTr="00D56AEC">
        <w:tc>
          <w:tcPr>
            <w:tcW w:w="9629" w:type="dxa"/>
          </w:tcPr>
          <w:p w14:paraId="38FC1614" w14:textId="77777777" w:rsidR="00117B2A" w:rsidRPr="00115C5A" w:rsidRDefault="00117B2A" w:rsidP="00D56AEC">
            <w:pPr>
              <w:pStyle w:val="Style1"/>
              <w:spacing w:after="0" w:line="240" w:lineRule="auto"/>
              <w:ind w:firstLine="0"/>
              <w:rPr>
                <w:highlight w:val="green"/>
                <w:lang w:val="en-US"/>
              </w:rPr>
            </w:pPr>
            <w:r w:rsidRPr="00115C5A">
              <w:rPr>
                <w:b/>
                <w:highlight w:val="green"/>
                <w:lang w:val="en-US"/>
              </w:rPr>
              <w:t>Agreement</w:t>
            </w:r>
          </w:p>
          <w:p w14:paraId="39E7CD37" w14:textId="77777777" w:rsidR="00117B2A" w:rsidRPr="00D7031E" w:rsidRDefault="00117B2A" w:rsidP="00D56AEC">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14:paraId="0CB8898E" w14:textId="77777777" w:rsidR="00117B2A" w:rsidRPr="00D7031E" w:rsidRDefault="00117B2A" w:rsidP="00D56AEC">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14:paraId="1E81C682" w14:textId="77777777" w:rsidR="00117B2A" w:rsidRPr="00286F31" w:rsidRDefault="00117B2A" w:rsidP="00D56AEC">
            <w:pPr>
              <w:pStyle w:val="Style1"/>
              <w:numPr>
                <w:ilvl w:val="0"/>
                <w:numId w:val="15"/>
              </w:numPr>
              <w:spacing w:after="0" w:line="240" w:lineRule="auto"/>
              <w:rPr>
                <w:highlight w:val="yellow"/>
                <w:lang w:val="en-US"/>
              </w:rPr>
            </w:pPr>
            <w:r w:rsidRPr="00286F31">
              <w:rPr>
                <w:highlight w:val="yellow"/>
                <w:lang w:val="en-US"/>
              </w:rPr>
              <w:t>Codebook subset restriction (CBSR) is supported when DFT-based compression is utilized for Type II codebooks with overhead reduction (compression) scheme</w:t>
            </w:r>
          </w:p>
          <w:p w14:paraId="73A92C5C" w14:textId="77777777" w:rsidR="00117B2A" w:rsidRPr="00D7031E" w:rsidRDefault="00117B2A" w:rsidP="00D56AEC">
            <w:pPr>
              <w:pStyle w:val="Style1"/>
              <w:numPr>
                <w:ilvl w:val="1"/>
                <w:numId w:val="15"/>
              </w:numPr>
              <w:spacing w:after="0" w:line="240" w:lineRule="auto"/>
              <w:rPr>
                <w:lang w:val="en-US"/>
              </w:rPr>
            </w:pPr>
            <w:r w:rsidRPr="00286F31">
              <w:rPr>
                <w:highlight w:val="yellow"/>
                <w:lang w:val="en-US"/>
              </w:rPr>
              <w:t>FFS: detailed signaling mechanism</w:t>
            </w:r>
            <w:r w:rsidRPr="00D7031E">
              <w:rPr>
                <w:lang w:val="en-US"/>
              </w:rPr>
              <w:t xml:space="preserve"> </w:t>
            </w:r>
          </w:p>
          <w:p w14:paraId="3C17BC09" w14:textId="77777777" w:rsidR="00117B2A" w:rsidRPr="00A54605" w:rsidRDefault="00117B2A" w:rsidP="00D56AEC">
            <w:pPr>
              <w:pStyle w:val="Style1"/>
              <w:numPr>
                <w:ilvl w:val="0"/>
                <w:numId w:val="15"/>
              </w:numPr>
              <w:spacing w:after="0" w:line="240" w:lineRule="auto"/>
              <w:rPr>
                <w:lang w:val="en-US"/>
              </w:rPr>
            </w:pPr>
            <w:r w:rsidRPr="00D7031E">
              <w:rPr>
                <w:lang w:val="en-US"/>
              </w:rPr>
              <w:t xml:space="preserve">Note: Additional compression scheme(s) are not precluded </w:t>
            </w:r>
            <w:r w:rsidRPr="00A54605">
              <w:rPr>
                <w:szCs w:val="28"/>
                <w:lang w:val="en-US"/>
              </w:rPr>
              <w:t xml:space="preserve"> </w:t>
            </w:r>
          </w:p>
        </w:tc>
      </w:tr>
    </w:tbl>
    <w:p w14:paraId="3905087B" w14:textId="6DC670DE" w:rsidR="00AD6148" w:rsidRDefault="00996F83" w:rsidP="00E701C2">
      <w:pPr>
        <w:pStyle w:val="maintext"/>
        <w:spacing w:after="120"/>
        <w:ind w:firstLineChars="0" w:firstLine="0"/>
      </w:pPr>
      <w:r>
        <w:t xml:space="preserve">This contribution discusses </w:t>
      </w:r>
      <w:r w:rsidR="003628C0">
        <w:t>codebook subset restriction (CBSR) for the DFT-based compressed Type II CSI codebook</w:t>
      </w:r>
      <w:r w:rsidR="00F63E77">
        <w:t>.</w:t>
      </w:r>
      <w:r>
        <w:t xml:space="preserve"> </w:t>
      </w:r>
    </w:p>
    <w:p w14:paraId="11231A92" w14:textId="36D64403" w:rsidR="003E633B" w:rsidRDefault="00374E0A" w:rsidP="00AD6148">
      <w:pPr>
        <w:pStyle w:val="Heading1"/>
      </w:pPr>
      <w:r>
        <w:t>Codebook Subset Restriction</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06355C77" w14:textId="0DB4140D" w:rsidR="009A449F" w:rsidRDefault="00873E1E" w:rsidP="00D51F0F">
      <w:r>
        <w:t>In Rel. 15</w:t>
      </w:r>
      <w:r w:rsidR="00663213">
        <w:t>,</w:t>
      </w:r>
      <w:r>
        <w:t xml:space="preserve"> CBSR </w:t>
      </w:r>
      <w:proofErr w:type="gramStart"/>
      <w:r>
        <w:t>is supported</w:t>
      </w:r>
      <w:proofErr w:type="gramEnd"/>
      <w:r>
        <w:t xml:space="preserve"> to restrict SD beams. The same mechanism can be used to restrict SD beams in Type II CSI overhead reduction.</w:t>
      </w:r>
      <w:r w:rsidR="00023EA0">
        <w:t xml:space="preserve"> </w:t>
      </w:r>
      <w:r w:rsidR="00D51F0F">
        <w:t>The</w:t>
      </w:r>
      <w:r w:rsidR="00023EA0">
        <w:t xml:space="preserve"> need for CBSR to restrict FD beams (components) is unclear, and require more study. While the technical motivation to restrict SD beams (which is to minimize interference in certain spatial directions) is well-understood in RAN1, there is no clear motivation to restrict FD beams (components). In particular, </w:t>
      </w:r>
      <w:r w:rsidR="00D51F0F">
        <w:t>restricting FD beams may result</w:t>
      </w:r>
      <w:r w:rsidR="00023EA0">
        <w:t xml:space="preserve"> in large performance loss if a few strong FD beams/components are prohibited/restricted (hence </w:t>
      </w:r>
      <w:proofErr w:type="gramStart"/>
      <w:r w:rsidR="00023EA0">
        <w:t>can’t</w:t>
      </w:r>
      <w:proofErr w:type="gramEnd"/>
      <w:r w:rsidR="00023EA0">
        <w:t xml:space="preserve"> be used) for FD compression. Unless some use cases or/and technical motivation is justified, CBSR to restrict FD beams needs more study/discussion in RAN1. </w:t>
      </w:r>
    </w:p>
    <w:p w14:paraId="206F7455" w14:textId="1F8E17B5" w:rsidR="00663213" w:rsidRPr="00663213" w:rsidRDefault="00663213" w:rsidP="00663213">
      <w:r>
        <w:t>Now,</w:t>
      </w:r>
      <w:r w:rsidRPr="00663213">
        <w:t xml:space="preserve"> the following agreement </w:t>
      </w:r>
      <w:proofErr w:type="gramStart"/>
      <w:r w:rsidRPr="00663213">
        <w:t>was made</w:t>
      </w:r>
      <w:proofErr w:type="gramEnd"/>
      <w:r>
        <w:t xml:space="preserve"> regarding the quantization scheme</w:t>
      </w:r>
      <w:r w:rsidR="006E1079">
        <w:t xml:space="preserve"> [2]</w:t>
      </w:r>
      <w:r>
        <w:t>.</w:t>
      </w:r>
    </w:p>
    <w:tbl>
      <w:tblPr>
        <w:tblStyle w:val="TableGrid"/>
        <w:tblW w:w="0" w:type="auto"/>
        <w:tblLook w:val="04A0" w:firstRow="1" w:lastRow="0" w:firstColumn="1" w:lastColumn="0" w:noHBand="0" w:noVBand="1"/>
      </w:tblPr>
      <w:tblGrid>
        <w:gridCol w:w="9629"/>
      </w:tblGrid>
      <w:tr w:rsidR="00663213" w14:paraId="3E6E119C" w14:textId="77777777" w:rsidTr="00663213">
        <w:tc>
          <w:tcPr>
            <w:tcW w:w="9629" w:type="dxa"/>
          </w:tcPr>
          <w:p w14:paraId="60C2285D" w14:textId="77777777" w:rsidR="00663213" w:rsidRPr="001A1881" w:rsidRDefault="00663213" w:rsidP="00663213">
            <w:pPr>
              <w:spacing w:before="0" w:after="0" w:line="240" w:lineRule="auto"/>
              <w:rPr>
                <w:b/>
                <w:highlight w:val="green"/>
                <w:lang w:eastAsia="x-none"/>
              </w:rPr>
            </w:pPr>
            <w:r w:rsidRPr="001A1881">
              <w:rPr>
                <w:b/>
                <w:highlight w:val="green"/>
                <w:lang w:eastAsia="x-none"/>
              </w:rPr>
              <w:t>Agreement</w:t>
            </w:r>
          </w:p>
          <w:p w14:paraId="6F94E6FB" w14:textId="137A738C" w:rsidR="00663213" w:rsidRDefault="00663213" w:rsidP="00663213">
            <w:pPr>
              <w:spacing w:before="0" w:after="0" w:line="240" w:lineRule="auto"/>
              <w:rPr>
                <w:lang w:eastAsia="x-none"/>
              </w:rPr>
            </w:pPr>
            <w:r w:rsidRPr="00CB239F">
              <w:rPr>
                <w:lang w:eastAsia="ko-KR"/>
              </w:rPr>
              <w:t>On LCC quantization, agree on Alt2 (differential per polarization) per the description in R1-1902304</w:t>
            </w:r>
          </w:p>
        </w:tc>
      </w:tr>
    </w:tbl>
    <w:p w14:paraId="45B023CB" w14:textId="2DBC2C1F" w:rsidR="00D51F0F" w:rsidRDefault="00D51F0F" w:rsidP="00D51F0F">
      <w:r>
        <w:t xml:space="preserve">According to agreed quantization scheme, the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oMath>
      <w:r w:rsidRPr="00D51F0F">
        <w:t xml:space="preserve"> is a product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ref,l,m</m:t>
            </m:r>
          </m:sub>
        </m:sSub>
      </m:oMath>
      <w:r>
        <w:t xml:space="preserve"> is a reference amplitude and </w:t>
      </w:r>
      <m:oMath>
        <m:sSub>
          <m:sSubPr>
            <m:ctrlPr>
              <w:rPr>
                <w:rFonts w:ascii="Cambria Math" w:hAnsi="Cambria Math"/>
                <w:i/>
              </w:rPr>
            </m:ctrlPr>
          </m:sSubPr>
          <m:e>
            <m:r>
              <w:rPr>
                <w:rFonts w:ascii="Cambria Math" w:hAnsi="Cambria Math"/>
              </w:rPr>
              <m:t>p</m:t>
            </m:r>
          </m:e>
          <m:sub>
            <m:r>
              <w:rPr>
                <w:rFonts w:ascii="Cambria Math" w:hAnsi="Cambria Math"/>
              </w:rPr>
              <m:t>diff,l,m</m:t>
            </m:r>
          </m:sub>
        </m:sSub>
      </m:oMath>
      <w:r>
        <w:t xml:space="preserve"> is a differential amplitude. </w:t>
      </w:r>
      <w:r w:rsidR="00663213">
        <w:t>In</w:t>
      </w:r>
      <w:r>
        <w:t xml:space="preserve"> Rel. 15</w:t>
      </w:r>
      <w:r w:rsidR="00663213">
        <w:t>,</w:t>
      </w:r>
      <w:r>
        <w:t xml:space="preserve"> </w:t>
      </w:r>
      <w:r w:rsidR="00663213">
        <w:t xml:space="preserve">a 2-bit </w:t>
      </w:r>
      <w:r>
        <w:t xml:space="preserve">amplitude restriction </w:t>
      </w:r>
      <w:proofErr w:type="gramStart"/>
      <w:r w:rsidR="00663213">
        <w:t>is used</w:t>
      </w:r>
      <w:proofErr w:type="gramEnd"/>
      <w:r w:rsidR="00663213">
        <w:t xml:space="preserve"> to restrict the maximum allowed value of the WB amplitude (which upper bounds the overall amplitude). The same </w:t>
      </w:r>
      <w:r>
        <w:t>2</w:t>
      </w:r>
      <w:r w:rsidR="00663213">
        <w:t xml:space="preserve">-bit amplitude restriction </w:t>
      </w:r>
      <w:proofErr w:type="gramStart"/>
      <w:r w:rsidR="00663213">
        <w:t xml:space="preserve">can be </w:t>
      </w:r>
      <w:r>
        <w:t>used</w:t>
      </w:r>
      <w:proofErr w:type="gramEnd"/>
      <w:r w:rsidR="00663213">
        <w:t xml:space="preserve"> </w:t>
      </w:r>
      <w:r w:rsidR="00663213" w:rsidRPr="00663213">
        <w:t>in Type II CSI overhead reduction</w:t>
      </w:r>
      <w:r w:rsidR="00663213">
        <w:t xml:space="preserve">. In particular, </w:t>
      </w:r>
      <w:r>
        <w:t xml:space="preserve">the 2-bit amplitude restriction </w:t>
      </w:r>
      <w:r w:rsidR="0008039F">
        <w:t>can be</w:t>
      </w:r>
      <w:r>
        <w:t xml:space="preserve"> according to one of the following alternatives.</w:t>
      </w:r>
    </w:p>
    <w:p w14:paraId="63D703F2" w14:textId="39F61C0C" w:rsidR="00D51F0F" w:rsidRDefault="00663213" w:rsidP="00663213">
      <w:pPr>
        <w:pStyle w:val="ListParagraph"/>
        <w:numPr>
          <w:ilvl w:val="0"/>
          <w:numId w:val="31"/>
        </w:numPr>
        <w:ind w:leftChars="0"/>
      </w:pPr>
      <w:r>
        <w:t xml:space="preserve">Alt0: </w:t>
      </w:r>
      <w:r w:rsidR="00687F86">
        <w:t>restrict only reference amplitude</w:t>
      </w:r>
    </w:p>
    <w:p w14:paraId="71B8BB3E" w14:textId="23533131" w:rsidR="00687F86" w:rsidRDefault="00687F86" w:rsidP="00687F86">
      <w:pPr>
        <w:pStyle w:val="ListParagraph"/>
        <w:numPr>
          <w:ilvl w:val="0"/>
          <w:numId w:val="31"/>
        </w:numPr>
        <w:ind w:leftChars="0"/>
      </w:pPr>
      <w:r>
        <w:t>Alt1: restrict only differential amplitude</w:t>
      </w:r>
    </w:p>
    <w:p w14:paraId="338B852F" w14:textId="319A6683" w:rsidR="00687F86" w:rsidRDefault="00687F86" w:rsidP="00687F86">
      <w:pPr>
        <w:pStyle w:val="ListParagraph"/>
        <w:numPr>
          <w:ilvl w:val="0"/>
          <w:numId w:val="31"/>
        </w:numPr>
        <w:ind w:leftChars="0"/>
      </w:pPr>
      <w:r>
        <w:t>Alt2: restrict both differential and reference amplitudes</w:t>
      </w:r>
    </w:p>
    <w:p w14:paraId="76341A56" w14:textId="39559A1C" w:rsidR="00687F86" w:rsidRDefault="00687F86" w:rsidP="00687F86">
      <w:pPr>
        <w:pStyle w:val="ListParagraph"/>
        <w:numPr>
          <w:ilvl w:val="0"/>
          <w:numId w:val="31"/>
        </w:numPr>
        <w:ind w:leftChars="0"/>
      </w:pPr>
      <w:r>
        <w:t xml:space="preserve">Alt3: restrict overall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p>
    <w:p w14:paraId="1628EABA" w14:textId="282EC04D" w:rsidR="00D51F0F" w:rsidRPr="00D51F0F" w:rsidRDefault="00B3238A" w:rsidP="00D51F0F">
      <w:r>
        <w:t>Comparing</w:t>
      </w:r>
      <w:r w:rsidR="00687F86">
        <w:t xml:space="preserve"> these alternatives, Alt0 is </w:t>
      </w:r>
      <w:r>
        <w:t xml:space="preserve">not </w:t>
      </w:r>
      <w:r w:rsidR="00687F86">
        <w:t xml:space="preserve">valid since it </w:t>
      </w:r>
      <w:r>
        <w:t xml:space="preserve">can only restrict amplitudes corresponding to one (“weaker polarization”) of the two antenna polarizations (since reference amplitude = </w:t>
      </w:r>
      <w:proofErr w:type="gramStart"/>
      <w:r>
        <w:t>1</w:t>
      </w:r>
      <w:proofErr w:type="gramEnd"/>
      <w:r>
        <w:t xml:space="preserve"> for the polarization of the strongest coefficient). Restricting both reference and differential amplitudes (Alt2) is unnecessary and over-design since the </w:t>
      </w:r>
      <w:r>
        <w:lastRenderedPageBreak/>
        <w:t xml:space="preserve">purpose of amplitude restriction is to restrict the maximum amplitude values, which </w:t>
      </w:r>
      <w:proofErr w:type="gramStart"/>
      <w:r>
        <w:t>can be done</w:t>
      </w:r>
      <w:proofErr w:type="gramEnd"/>
      <w:r>
        <w:t xml:space="preserve"> by restricting only </w:t>
      </w:r>
      <w:r w:rsidR="006777F6">
        <w:t>differential amplitude (Alt1) or the overall amplitude (</w:t>
      </w:r>
      <w:r>
        <w:t>Alt3</w:t>
      </w:r>
      <w:r w:rsidR="006777F6">
        <w:t xml:space="preserve">). Between Alt1 and Alt3, Alt3 is </w:t>
      </w:r>
      <w:r w:rsidR="0008039F">
        <w:t>preferable</w:t>
      </w:r>
      <w:r w:rsidR="006777F6">
        <w:t xml:space="preserve"> in our view since it restricts the overall amplitude, </w:t>
      </w:r>
      <w:r w:rsidR="0008039F">
        <w:t xml:space="preserve">not only one of its components (e.g. only differential in Alt1). </w:t>
      </w:r>
      <w:proofErr w:type="gramStart"/>
      <w:r w:rsidR="0008039F">
        <w:t>Also</w:t>
      </w:r>
      <w:proofErr w:type="gramEnd"/>
      <w:r w:rsidR="0008039F">
        <w:t xml:space="preserve">, there is another issue with Alt3 </w:t>
      </w:r>
      <w:r w:rsidR="003F33CE">
        <w:t>which is that the differential amplitude restriction has to consider the worst case, which is when the reference amplitude equals 1. W</w:t>
      </w:r>
      <w:r w:rsidR="0008039F">
        <w:t>hen the reference amplitude &lt; 1</w:t>
      </w:r>
      <w:r w:rsidR="003F33CE">
        <w:t>, it is obvious that the overall amplitude will always be less than the maximum allowed value due to the multiplication with the reference amplitude. This will result in some performance loss.</w:t>
      </w:r>
      <w:r w:rsidR="0008039F">
        <w:t xml:space="preserve">   </w:t>
      </w:r>
    </w:p>
    <w:p w14:paraId="5AFC144B" w14:textId="4FB3B601" w:rsidR="00404205" w:rsidRDefault="005E12A0" w:rsidP="005E12A0">
      <w:pPr>
        <w:pStyle w:val="maintext"/>
        <w:spacing w:after="120"/>
        <w:ind w:firstLineChars="0" w:firstLine="0"/>
        <w:rPr>
          <w:rFonts w:cs="Times New Roman"/>
          <w:i/>
          <w:iCs/>
          <w:lang w:val="en-US"/>
        </w:rPr>
      </w:pPr>
      <w:bookmarkStart w:id="4" w:name="_Ref446598642"/>
      <w:r>
        <w:rPr>
          <w:rFonts w:cs="Times New Roman"/>
          <w:b/>
          <w:i/>
          <w:iCs/>
          <w:lang w:val="en-US"/>
        </w:rPr>
        <w:t>Proposal</w:t>
      </w:r>
      <w:r w:rsidRPr="005E12A0">
        <w:rPr>
          <w:rFonts w:cs="Times New Roman"/>
          <w:i/>
          <w:iCs/>
          <w:lang w:val="en-US"/>
        </w:rPr>
        <w:t>:</w:t>
      </w:r>
      <w:r w:rsidR="00404205">
        <w:rPr>
          <w:rFonts w:cs="Times New Roman"/>
          <w:i/>
          <w:iCs/>
          <w:lang w:val="en-US"/>
        </w:rPr>
        <w:t xml:space="preserve"> </w:t>
      </w:r>
      <w:r w:rsidR="00873E1E">
        <w:rPr>
          <w:rFonts w:cs="Times New Roman"/>
          <w:i/>
          <w:iCs/>
          <w:lang w:val="en-US"/>
        </w:rPr>
        <w:t>Support the following for CBSR for Type II CSI overhead reduction in Rel. 16.</w:t>
      </w:r>
    </w:p>
    <w:p w14:paraId="40409DA1" w14:textId="336D4FC6" w:rsidR="00873E1E" w:rsidRDefault="00873E1E" w:rsidP="00933761">
      <w:pPr>
        <w:pStyle w:val="ListParagraph"/>
        <w:numPr>
          <w:ilvl w:val="0"/>
          <w:numId w:val="6"/>
        </w:numPr>
        <w:ind w:leftChars="0"/>
        <w:rPr>
          <w:i/>
        </w:rPr>
      </w:pPr>
      <w:r>
        <w:rPr>
          <w:i/>
        </w:rPr>
        <w:t>For SD beams, reuse Rel. 15 CBSR mechanism for Type II CSI reporting.</w:t>
      </w:r>
    </w:p>
    <w:p w14:paraId="5358D4B3" w14:textId="2267043A" w:rsidR="00CE4288" w:rsidRDefault="00873E1E" w:rsidP="00933761">
      <w:pPr>
        <w:pStyle w:val="ListParagraph"/>
        <w:numPr>
          <w:ilvl w:val="0"/>
          <w:numId w:val="6"/>
        </w:numPr>
        <w:ind w:leftChars="0"/>
        <w:rPr>
          <w:i/>
        </w:rPr>
      </w:pPr>
      <w:r>
        <w:rPr>
          <w:i/>
        </w:rPr>
        <w:t>For FD beams</w:t>
      </w:r>
      <w:r w:rsidR="00023EA0">
        <w:rPr>
          <w:i/>
        </w:rPr>
        <w:t>/components</w:t>
      </w:r>
      <w:r>
        <w:rPr>
          <w:i/>
        </w:rPr>
        <w:t>, study whether CBSR is necessary.</w:t>
      </w:r>
    </w:p>
    <w:p w14:paraId="6519E954" w14:textId="2D0F69D5" w:rsidR="003F33CE" w:rsidRPr="00CE4288" w:rsidRDefault="003F33CE" w:rsidP="00933761">
      <w:pPr>
        <w:pStyle w:val="ListParagraph"/>
        <w:numPr>
          <w:ilvl w:val="0"/>
          <w:numId w:val="6"/>
        </w:numPr>
        <w:ind w:leftChars="0"/>
        <w:rPr>
          <w:i/>
        </w:rPr>
      </w:pPr>
      <w:r>
        <w:rPr>
          <w:i/>
        </w:rPr>
        <w:t xml:space="preserve">For amplitude restriction, reuse Rel. 15 2-bit amplitude restriction to </w:t>
      </w:r>
      <w:r w:rsidRPr="003F33CE">
        <w:rPr>
          <w:i/>
        </w:rPr>
        <w:t xml:space="preserve">restrict </w:t>
      </w:r>
      <w:r>
        <w:rPr>
          <w:i/>
        </w:rPr>
        <w:t xml:space="preserve">the </w:t>
      </w:r>
      <w:r w:rsidRPr="003F33CE">
        <w:rPr>
          <w:i/>
        </w:rPr>
        <w:t xml:space="preserve">overall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p>
    <w:p w14:paraId="72268DBE" w14:textId="77777777" w:rsidR="006A3C47" w:rsidRPr="006A3C47" w:rsidRDefault="006A3C47" w:rsidP="006A3C47">
      <w:pPr>
        <w:rPr>
          <w:lang w:eastAsia="ko-KR"/>
        </w:rPr>
      </w:pPr>
    </w:p>
    <w:p w14:paraId="06178B84" w14:textId="637D033B" w:rsidR="003D3E2E" w:rsidRDefault="003D3E2E" w:rsidP="002958FD">
      <w:pPr>
        <w:pStyle w:val="Heading1"/>
      </w:pPr>
      <w:r>
        <w:rPr>
          <w:rFonts w:hint="eastAsia"/>
        </w:rPr>
        <w:t>Conclusions</w:t>
      </w:r>
      <w:bookmarkEnd w:id="4"/>
    </w:p>
    <w:p w14:paraId="351593C2" w14:textId="52DF2F1A" w:rsidR="003A03F9" w:rsidRPr="00E041E7" w:rsidRDefault="00E468B7" w:rsidP="00210152">
      <w:pPr>
        <w:pStyle w:val="2222"/>
        <w:spacing w:line="288" w:lineRule="auto"/>
        <w:ind w:firstLineChars="0" w:firstLine="0"/>
        <w:rPr>
          <w:i/>
        </w:rPr>
      </w:pPr>
      <w:r>
        <w:rPr>
          <w:lang w:eastAsia="ko-KR"/>
        </w:rPr>
        <w:t>In this contribution,</w:t>
      </w:r>
      <w:r w:rsidR="003A03F9">
        <w:rPr>
          <w:lang w:eastAsia="ko-KR"/>
        </w:rPr>
        <w:t xml:space="preserve"> some of</w:t>
      </w:r>
      <w:r>
        <w:rPr>
          <w:lang w:eastAsia="ko-KR"/>
        </w:rPr>
        <w:t xml:space="preserve"> </w:t>
      </w:r>
      <w:r w:rsidR="003A03F9">
        <w:rPr>
          <w:lang w:eastAsia="ko-KR"/>
        </w:rPr>
        <w:t>the remaining issues of the Type II overhead reduction is discussed</w:t>
      </w:r>
      <w:r w:rsidR="00C256C7">
        <w:rPr>
          <w:lang w:eastAsia="ko-KR"/>
        </w:rPr>
        <w:t>.</w:t>
      </w:r>
      <w:r>
        <w:rPr>
          <w:lang w:eastAsia="ko-KR"/>
        </w:rPr>
        <w:t xml:space="preserve"> </w:t>
      </w:r>
      <w:r w:rsidR="00C256C7">
        <w:rPr>
          <w:lang w:eastAsia="ko-KR"/>
        </w:rPr>
        <w:t xml:space="preserve">The proposals made </w:t>
      </w:r>
      <w:proofErr w:type="gramStart"/>
      <w:r w:rsidR="00C256C7">
        <w:rPr>
          <w:lang w:eastAsia="ko-KR"/>
        </w:rPr>
        <w:t>are summarized</w:t>
      </w:r>
      <w:proofErr w:type="gramEnd"/>
      <w:r w:rsidR="00C256C7">
        <w:rPr>
          <w:lang w:eastAsia="ko-KR"/>
        </w:rPr>
        <w:t xml:space="preserve"> as follows</w:t>
      </w:r>
      <w:r w:rsidR="00AC76CF">
        <w:rPr>
          <w:lang w:eastAsia="ko-KR"/>
        </w:rPr>
        <w:t>.</w:t>
      </w:r>
      <w:r w:rsidR="00117EB7">
        <w:rPr>
          <w:lang w:eastAsia="ko-KR"/>
        </w:rPr>
        <w:t xml:space="preserve"> </w:t>
      </w:r>
    </w:p>
    <w:p w14:paraId="328067C6" w14:textId="733F7E0D" w:rsidR="00873E1E" w:rsidRDefault="00210152" w:rsidP="00873E1E">
      <w:pPr>
        <w:pStyle w:val="maintext"/>
        <w:spacing w:after="120"/>
        <w:ind w:firstLineChars="0" w:firstLine="0"/>
        <w:rPr>
          <w:rFonts w:cs="Times New Roman"/>
          <w:i/>
          <w:iCs/>
          <w:lang w:val="en-US"/>
        </w:rPr>
      </w:pPr>
      <w:r>
        <w:rPr>
          <w:rFonts w:cs="Times New Roman"/>
          <w:b/>
          <w:i/>
          <w:iCs/>
          <w:lang w:val="en-US"/>
        </w:rPr>
        <w:t>Proposal</w:t>
      </w:r>
      <w:r w:rsidR="00873E1E" w:rsidRPr="005E12A0">
        <w:rPr>
          <w:rFonts w:cs="Times New Roman"/>
          <w:i/>
          <w:iCs/>
          <w:lang w:val="en-US"/>
        </w:rPr>
        <w:t>:</w:t>
      </w:r>
      <w:r w:rsidR="00873E1E">
        <w:rPr>
          <w:rFonts w:cs="Times New Roman"/>
          <w:i/>
          <w:iCs/>
          <w:lang w:val="en-US"/>
        </w:rPr>
        <w:t xml:space="preserve"> Support the following for CBSR for Type II CSI overhead reduction in Rel. 16.</w:t>
      </w:r>
    </w:p>
    <w:p w14:paraId="0319E9CE" w14:textId="77777777" w:rsidR="00873E1E" w:rsidRDefault="00873E1E" w:rsidP="00873E1E">
      <w:pPr>
        <w:pStyle w:val="ListParagraph"/>
        <w:numPr>
          <w:ilvl w:val="0"/>
          <w:numId w:val="6"/>
        </w:numPr>
        <w:ind w:leftChars="0"/>
        <w:rPr>
          <w:i/>
        </w:rPr>
      </w:pPr>
      <w:r>
        <w:rPr>
          <w:i/>
        </w:rPr>
        <w:t>For SD beams, reuse Rel. 15 CBSR mechanism for Type II CSI reporting.</w:t>
      </w:r>
    </w:p>
    <w:p w14:paraId="22CE25D1" w14:textId="77777777" w:rsidR="00023EA0" w:rsidRPr="00CE4288" w:rsidRDefault="00023EA0" w:rsidP="00023EA0">
      <w:pPr>
        <w:pStyle w:val="ListParagraph"/>
        <w:numPr>
          <w:ilvl w:val="0"/>
          <w:numId w:val="6"/>
        </w:numPr>
        <w:ind w:leftChars="0"/>
        <w:rPr>
          <w:i/>
        </w:rPr>
      </w:pPr>
      <w:r>
        <w:rPr>
          <w:i/>
        </w:rPr>
        <w:t>For FD beams/components, study whether CBSR is necessary.</w:t>
      </w:r>
    </w:p>
    <w:p w14:paraId="1204D869" w14:textId="77777777" w:rsidR="00A50955" w:rsidRPr="00CE4288" w:rsidRDefault="00A50955" w:rsidP="00A50955">
      <w:pPr>
        <w:pStyle w:val="ListParagraph"/>
        <w:numPr>
          <w:ilvl w:val="0"/>
          <w:numId w:val="6"/>
        </w:numPr>
        <w:ind w:leftChars="0"/>
        <w:rPr>
          <w:i/>
        </w:rPr>
      </w:pPr>
      <w:r>
        <w:rPr>
          <w:i/>
        </w:rPr>
        <w:t xml:space="preserve">For amplitude restriction, reuse Rel. 15 2-bit amplitude restriction to </w:t>
      </w:r>
      <w:r w:rsidRPr="003F33CE">
        <w:rPr>
          <w:i/>
        </w:rPr>
        <w:t xml:space="preserve">restrict </w:t>
      </w:r>
      <w:r>
        <w:rPr>
          <w:i/>
        </w:rPr>
        <w:t xml:space="preserve">the </w:t>
      </w:r>
      <w:r w:rsidRPr="003F33CE">
        <w:rPr>
          <w:i/>
        </w:rPr>
        <w:t xml:space="preserve">overall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ref,l,m</m:t>
                </m:r>
              </m:sub>
            </m:sSub>
            <m:r>
              <w:rPr>
                <w:rFonts w:ascii="Cambria Math" w:hAnsi="Cambria Math"/>
              </w:rPr>
              <m:t>×p</m:t>
            </m:r>
          </m:e>
          <m:sub>
            <m:r>
              <w:rPr>
                <w:rFonts w:ascii="Cambria Math" w:hAnsi="Cambria Math"/>
              </w:rPr>
              <m:t>diff,l.m</m:t>
            </m:r>
          </m:sub>
        </m:sSub>
      </m:oMath>
    </w:p>
    <w:p w14:paraId="157A9496" w14:textId="77777777" w:rsidR="006C3A79" w:rsidRPr="006C3A79" w:rsidRDefault="006C3A79" w:rsidP="006C3A79">
      <w:pPr>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D59BFBC" w14:textId="0B941CA9" w:rsidR="00F54152" w:rsidRDefault="00286F31" w:rsidP="00F5415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RAN1#95</w:t>
      </w:r>
    </w:p>
    <w:p w14:paraId="39C6BD19" w14:textId="23AD7651" w:rsidR="006E1079" w:rsidRDefault="006E1079" w:rsidP="006E1079">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RAN1#96</w:t>
      </w:r>
      <w:bookmarkStart w:id="5" w:name="_GoBack"/>
      <w:bookmarkEnd w:id="5"/>
    </w:p>
    <w:sectPr w:rsidR="006E1079" w:rsidSect="00872417">
      <w:headerReference w:type="default"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6A6AC" w14:textId="77777777" w:rsidR="00F53303" w:rsidRDefault="00F53303">
      <w:r>
        <w:separator/>
      </w:r>
    </w:p>
  </w:endnote>
  <w:endnote w:type="continuationSeparator" w:id="0">
    <w:p w14:paraId="0E226A10" w14:textId="77777777" w:rsidR="00F53303" w:rsidRDefault="00F5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27D7F2FB" w:rsidR="00CE6D37" w:rsidRDefault="00CE6D37">
        <w:pPr>
          <w:pStyle w:val="Footer"/>
          <w:jc w:val="center"/>
        </w:pPr>
        <w:r>
          <w:fldChar w:fldCharType="begin"/>
        </w:r>
        <w:r>
          <w:instrText xml:space="preserve"> PAGE   \* MERGEFORMAT </w:instrText>
        </w:r>
        <w:r>
          <w:fldChar w:fldCharType="separate"/>
        </w:r>
        <w:r w:rsidR="006E1079">
          <w:rPr>
            <w:noProof/>
          </w:rPr>
          <w:t>2</w:t>
        </w:r>
        <w:r>
          <w:rPr>
            <w:noProof/>
          </w:rPr>
          <w:fldChar w:fldCharType="end"/>
        </w:r>
      </w:p>
    </w:sdtContent>
  </w:sdt>
  <w:p w14:paraId="5FEA8030" w14:textId="77777777" w:rsidR="00CE6D37" w:rsidRDefault="00CE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83A4A" w14:textId="77777777" w:rsidR="00F53303" w:rsidRDefault="00F53303">
      <w:r>
        <w:separator/>
      </w:r>
    </w:p>
  </w:footnote>
  <w:footnote w:type="continuationSeparator" w:id="0">
    <w:p w14:paraId="6D860CF3" w14:textId="77777777" w:rsidR="00F53303" w:rsidRDefault="00F5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CE6D37" w:rsidRDefault="00CE6D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0754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C57DC"/>
    <w:multiLevelType w:val="hybridMultilevel"/>
    <w:tmpl w:val="CE56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9D27A95"/>
    <w:multiLevelType w:val="hybridMultilevel"/>
    <w:tmpl w:val="5262D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75511"/>
    <w:multiLevelType w:val="hybridMultilevel"/>
    <w:tmpl w:val="8AC6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2D6122"/>
    <w:multiLevelType w:val="hybridMultilevel"/>
    <w:tmpl w:val="C3DC8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30B0E"/>
    <w:multiLevelType w:val="hybridMultilevel"/>
    <w:tmpl w:val="9776051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42858"/>
    <w:multiLevelType w:val="hybridMultilevel"/>
    <w:tmpl w:val="DE94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55416"/>
    <w:multiLevelType w:val="hybridMultilevel"/>
    <w:tmpl w:val="677A3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B3DE4"/>
    <w:multiLevelType w:val="hybridMultilevel"/>
    <w:tmpl w:val="1AC4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2"/>
  </w:num>
  <w:num w:numId="4">
    <w:abstractNumId w:val="29"/>
  </w:num>
  <w:num w:numId="5">
    <w:abstractNumId w:val="5"/>
  </w:num>
  <w:num w:numId="6">
    <w:abstractNumId w:val="7"/>
  </w:num>
  <w:num w:numId="7">
    <w:abstractNumId w:val="17"/>
  </w:num>
  <w:num w:numId="8">
    <w:abstractNumId w:val="19"/>
  </w:num>
  <w:num w:numId="9">
    <w:abstractNumId w:val="30"/>
  </w:num>
  <w:num w:numId="10">
    <w:abstractNumId w:val="14"/>
    <w:lvlOverride w:ilvl="0">
      <w:startOverride w:val="1"/>
    </w:lvlOverride>
  </w:num>
  <w:num w:numId="11">
    <w:abstractNumId w:val="12"/>
  </w:num>
  <w:num w:numId="12">
    <w:abstractNumId w:val="23"/>
  </w:num>
  <w:num w:numId="13">
    <w:abstractNumId w:val="3"/>
  </w:num>
  <w:num w:numId="14">
    <w:abstractNumId w:val="10"/>
  </w:num>
  <w:num w:numId="15">
    <w:abstractNumId w:val="27"/>
  </w:num>
  <w:num w:numId="16">
    <w:abstractNumId w:val="20"/>
  </w:num>
  <w:num w:numId="17">
    <w:abstractNumId w:val="25"/>
  </w:num>
  <w:num w:numId="18">
    <w:abstractNumId w:val="18"/>
  </w:num>
  <w:num w:numId="19">
    <w:abstractNumId w:val="28"/>
  </w:num>
  <w:num w:numId="20">
    <w:abstractNumId w:val="0"/>
  </w:num>
  <w:num w:numId="21">
    <w:abstractNumId w:val="13"/>
  </w:num>
  <w:num w:numId="22">
    <w:abstractNumId w:val="2"/>
  </w:num>
  <w:num w:numId="23">
    <w:abstractNumId w:val="4"/>
  </w:num>
  <w:num w:numId="24">
    <w:abstractNumId w:val="1"/>
  </w:num>
  <w:num w:numId="25">
    <w:abstractNumId w:val="24"/>
  </w:num>
  <w:num w:numId="26">
    <w:abstractNumId w:val="11"/>
  </w:num>
  <w:num w:numId="27">
    <w:abstractNumId w:val="21"/>
  </w:num>
  <w:num w:numId="28">
    <w:abstractNumId w:val="16"/>
  </w:num>
  <w:num w:numId="29">
    <w:abstractNumId w:val="15"/>
  </w:num>
  <w:num w:numId="30">
    <w:abstractNumId w:val="6"/>
  </w:num>
  <w:num w:numId="3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547E"/>
    <w:rsid w:val="000167DF"/>
    <w:rsid w:val="0001695D"/>
    <w:rsid w:val="000172F4"/>
    <w:rsid w:val="00020103"/>
    <w:rsid w:val="000210FF"/>
    <w:rsid w:val="00021CA4"/>
    <w:rsid w:val="00022194"/>
    <w:rsid w:val="00022677"/>
    <w:rsid w:val="00022C4C"/>
    <w:rsid w:val="00023EA0"/>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039F"/>
    <w:rsid w:val="00081722"/>
    <w:rsid w:val="00081CC0"/>
    <w:rsid w:val="0008214B"/>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3EB"/>
    <w:rsid w:val="00117B15"/>
    <w:rsid w:val="00117B2A"/>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2F03"/>
    <w:rsid w:val="00184848"/>
    <w:rsid w:val="00184E17"/>
    <w:rsid w:val="001850D6"/>
    <w:rsid w:val="00186CD0"/>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152"/>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58D"/>
    <w:rsid w:val="0025048D"/>
    <w:rsid w:val="00251DAC"/>
    <w:rsid w:val="00252177"/>
    <w:rsid w:val="0025287D"/>
    <w:rsid w:val="00252C0C"/>
    <w:rsid w:val="00253605"/>
    <w:rsid w:val="00254613"/>
    <w:rsid w:val="00255CAE"/>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6F31"/>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2258"/>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57333"/>
    <w:rsid w:val="00360211"/>
    <w:rsid w:val="00361538"/>
    <w:rsid w:val="00361D72"/>
    <w:rsid w:val="003626DE"/>
    <w:rsid w:val="003628C0"/>
    <w:rsid w:val="00362D53"/>
    <w:rsid w:val="00362DB7"/>
    <w:rsid w:val="00363312"/>
    <w:rsid w:val="003636D3"/>
    <w:rsid w:val="0036374E"/>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4E0A"/>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3F9"/>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2387"/>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3602"/>
    <w:rsid w:val="003E4EF0"/>
    <w:rsid w:val="003E633B"/>
    <w:rsid w:val="003E68FB"/>
    <w:rsid w:val="003F00C5"/>
    <w:rsid w:val="003F0727"/>
    <w:rsid w:val="003F0876"/>
    <w:rsid w:val="003F0A78"/>
    <w:rsid w:val="003F0E10"/>
    <w:rsid w:val="003F1546"/>
    <w:rsid w:val="003F1A3F"/>
    <w:rsid w:val="003F33CE"/>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BC"/>
    <w:rsid w:val="004717F5"/>
    <w:rsid w:val="00473944"/>
    <w:rsid w:val="00474060"/>
    <w:rsid w:val="00474BDC"/>
    <w:rsid w:val="00474D44"/>
    <w:rsid w:val="00474F44"/>
    <w:rsid w:val="0047614C"/>
    <w:rsid w:val="0047692C"/>
    <w:rsid w:val="00477672"/>
    <w:rsid w:val="004800A8"/>
    <w:rsid w:val="0048015F"/>
    <w:rsid w:val="00480DC1"/>
    <w:rsid w:val="00481D44"/>
    <w:rsid w:val="00481F84"/>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60F2D"/>
    <w:rsid w:val="00563E2A"/>
    <w:rsid w:val="005659CF"/>
    <w:rsid w:val="00565B68"/>
    <w:rsid w:val="00567B39"/>
    <w:rsid w:val="0057277C"/>
    <w:rsid w:val="00572E2F"/>
    <w:rsid w:val="00573463"/>
    <w:rsid w:val="005737E6"/>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5A59"/>
    <w:rsid w:val="005D6DC4"/>
    <w:rsid w:val="005D740C"/>
    <w:rsid w:val="005D7582"/>
    <w:rsid w:val="005D7BC7"/>
    <w:rsid w:val="005E0552"/>
    <w:rsid w:val="005E12A0"/>
    <w:rsid w:val="005E2034"/>
    <w:rsid w:val="005E27C0"/>
    <w:rsid w:val="005E3131"/>
    <w:rsid w:val="005E3D8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213"/>
    <w:rsid w:val="006634B8"/>
    <w:rsid w:val="006663DD"/>
    <w:rsid w:val="006666D6"/>
    <w:rsid w:val="006667B1"/>
    <w:rsid w:val="006676C8"/>
    <w:rsid w:val="006678AE"/>
    <w:rsid w:val="00670DE5"/>
    <w:rsid w:val="00670F1B"/>
    <w:rsid w:val="006710BE"/>
    <w:rsid w:val="00671DC6"/>
    <w:rsid w:val="00672AAB"/>
    <w:rsid w:val="00675513"/>
    <w:rsid w:val="006769C8"/>
    <w:rsid w:val="006777F6"/>
    <w:rsid w:val="00680617"/>
    <w:rsid w:val="00680AF7"/>
    <w:rsid w:val="00680FE3"/>
    <w:rsid w:val="006811C4"/>
    <w:rsid w:val="0068173F"/>
    <w:rsid w:val="006826A1"/>
    <w:rsid w:val="006826B6"/>
    <w:rsid w:val="00683595"/>
    <w:rsid w:val="006849F3"/>
    <w:rsid w:val="00684B10"/>
    <w:rsid w:val="006856DD"/>
    <w:rsid w:val="00685B36"/>
    <w:rsid w:val="00685BF2"/>
    <w:rsid w:val="00687F66"/>
    <w:rsid w:val="00687F86"/>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62CB"/>
    <w:rsid w:val="006A6FAD"/>
    <w:rsid w:val="006A72F1"/>
    <w:rsid w:val="006A7D31"/>
    <w:rsid w:val="006B0B2E"/>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79"/>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197A"/>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5463"/>
    <w:rsid w:val="00737F4D"/>
    <w:rsid w:val="00741556"/>
    <w:rsid w:val="00741B82"/>
    <w:rsid w:val="00744677"/>
    <w:rsid w:val="00746D48"/>
    <w:rsid w:val="007504DD"/>
    <w:rsid w:val="00750E72"/>
    <w:rsid w:val="00751B83"/>
    <w:rsid w:val="00752F85"/>
    <w:rsid w:val="007534C7"/>
    <w:rsid w:val="00753A41"/>
    <w:rsid w:val="00753C98"/>
    <w:rsid w:val="00755AD7"/>
    <w:rsid w:val="007565FD"/>
    <w:rsid w:val="00756864"/>
    <w:rsid w:val="00756D60"/>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B64"/>
    <w:rsid w:val="007B7FE6"/>
    <w:rsid w:val="007C017F"/>
    <w:rsid w:val="007C0497"/>
    <w:rsid w:val="007C0DB2"/>
    <w:rsid w:val="007C1FEB"/>
    <w:rsid w:val="007C25EB"/>
    <w:rsid w:val="007C2A02"/>
    <w:rsid w:val="007C3BF0"/>
    <w:rsid w:val="007C45F9"/>
    <w:rsid w:val="007C467C"/>
    <w:rsid w:val="007C5842"/>
    <w:rsid w:val="007C6231"/>
    <w:rsid w:val="007C70A5"/>
    <w:rsid w:val="007C7357"/>
    <w:rsid w:val="007C7CD0"/>
    <w:rsid w:val="007C7D9E"/>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46D14"/>
    <w:rsid w:val="0085153B"/>
    <w:rsid w:val="00852FCA"/>
    <w:rsid w:val="00855EBE"/>
    <w:rsid w:val="00857CDE"/>
    <w:rsid w:val="00860184"/>
    <w:rsid w:val="00860ECC"/>
    <w:rsid w:val="00861B40"/>
    <w:rsid w:val="00861ED9"/>
    <w:rsid w:val="00862A8D"/>
    <w:rsid w:val="00862CC8"/>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3E1E"/>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4442"/>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761"/>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8018C"/>
    <w:rsid w:val="00980278"/>
    <w:rsid w:val="00980425"/>
    <w:rsid w:val="0098068D"/>
    <w:rsid w:val="00981709"/>
    <w:rsid w:val="00981CFF"/>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955"/>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6B7"/>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618"/>
    <w:rsid w:val="00B2681C"/>
    <w:rsid w:val="00B3238A"/>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382"/>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4FE"/>
    <w:rsid w:val="00BB0244"/>
    <w:rsid w:val="00BB19D2"/>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0C2"/>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53CF"/>
    <w:rsid w:val="00C75B14"/>
    <w:rsid w:val="00C75CAA"/>
    <w:rsid w:val="00C777BC"/>
    <w:rsid w:val="00C80084"/>
    <w:rsid w:val="00C80395"/>
    <w:rsid w:val="00C8041B"/>
    <w:rsid w:val="00C8049E"/>
    <w:rsid w:val="00C824C3"/>
    <w:rsid w:val="00C82945"/>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2D9D"/>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D7DA5"/>
    <w:rsid w:val="00CE1480"/>
    <w:rsid w:val="00CE1D79"/>
    <w:rsid w:val="00CE29FE"/>
    <w:rsid w:val="00CE4288"/>
    <w:rsid w:val="00CE4F8B"/>
    <w:rsid w:val="00CE597D"/>
    <w:rsid w:val="00CE6378"/>
    <w:rsid w:val="00CE6D37"/>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1F0F"/>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1E7"/>
    <w:rsid w:val="00E04943"/>
    <w:rsid w:val="00E052E0"/>
    <w:rsid w:val="00E063DF"/>
    <w:rsid w:val="00E06DB0"/>
    <w:rsid w:val="00E0769B"/>
    <w:rsid w:val="00E1078A"/>
    <w:rsid w:val="00E10B86"/>
    <w:rsid w:val="00E11BD7"/>
    <w:rsid w:val="00E11D4A"/>
    <w:rsid w:val="00E11D4C"/>
    <w:rsid w:val="00E12151"/>
    <w:rsid w:val="00E13359"/>
    <w:rsid w:val="00E13802"/>
    <w:rsid w:val="00E13830"/>
    <w:rsid w:val="00E14E0C"/>
    <w:rsid w:val="00E14E59"/>
    <w:rsid w:val="00E152CF"/>
    <w:rsid w:val="00E1556C"/>
    <w:rsid w:val="00E158C4"/>
    <w:rsid w:val="00E15AA3"/>
    <w:rsid w:val="00E15B4F"/>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0F84"/>
    <w:rsid w:val="00E41835"/>
    <w:rsid w:val="00E42776"/>
    <w:rsid w:val="00E43661"/>
    <w:rsid w:val="00E43BD5"/>
    <w:rsid w:val="00E43E13"/>
    <w:rsid w:val="00E4454D"/>
    <w:rsid w:val="00E45DD4"/>
    <w:rsid w:val="00E45E67"/>
    <w:rsid w:val="00E46774"/>
    <w:rsid w:val="00E468B7"/>
    <w:rsid w:val="00E47101"/>
    <w:rsid w:val="00E477E2"/>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67D1"/>
    <w:rsid w:val="00F2776C"/>
    <w:rsid w:val="00F27C7B"/>
    <w:rsid w:val="00F304EF"/>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303"/>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3EF5"/>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65AF"/>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2C"/>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 w:val="00FF7C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296FE-20AE-4903-99F7-9EC5B005C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48</cp:revision>
  <cp:lastPrinted>2012-03-15T10:36:00Z</cp:lastPrinted>
  <dcterms:created xsi:type="dcterms:W3CDTF">2019-01-11T03:23:00Z</dcterms:created>
  <dcterms:modified xsi:type="dcterms:W3CDTF">2019-03-28T17:42:00Z</dcterms:modified>
</cp:coreProperties>
</file>